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  <w:bookmarkStart w:id="0" w:name="_Toc142068268"/>
      <w:bookmarkStart w:id="1" w:name="_Toc15507"/>
      <w:bookmarkStart w:id="2" w:name="_Toc31478"/>
      <w:bookmarkStart w:id="3" w:name="_Toc11164"/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</w:p>
    <w:p>
      <w:pPr>
        <w:spacing w:line="360" w:lineRule="auto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  <w:lang w:val="en-US" w:eastAsia="zh-CN"/>
        </w:rPr>
        <w:t>河南省安阳市</w:t>
      </w:r>
    </w:p>
    <w:p>
      <w:pPr>
        <w:spacing w:line="360" w:lineRule="auto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  <w:lang w:val="en-US" w:eastAsia="zh-CN"/>
        </w:rPr>
        <w:t>基层小微权力“监督一点通”</w:t>
      </w:r>
    </w:p>
    <w:p>
      <w:pPr>
        <w:spacing w:line="360" w:lineRule="auto"/>
        <w:jc w:val="center"/>
        <w:rPr>
          <w:rFonts w:hint="default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  <w:lang w:val="en-US" w:eastAsia="zh-CN"/>
        </w:rPr>
        <w:t>采购需求</w:t>
      </w:r>
    </w:p>
    <w:bookmarkEnd w:id="0"/>
    <w:bookmarkEnd w:id="1"/>
    <w:bookmarkEnd w:id="2"/>
    <w:bookmarkEnd w:id="3"/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  <w:bookmarkStart w:id="4" w:name="_Toc142068269"/>
      <w:bookmarkStart w:id="5" w:name="_Toc24911"/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</w:p>
    <w:p>
      <w:pPr>
        <w:spacing w:line="360" w:lineRule="auto"/>
        <w:jc w:val="center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安阳市纪委监委</w:t>
      </w:r>
    </w:p>
    <w:p>
      <w:pPr>
        <w:spacing w:line="360" w:lineRule="auto"/>
        <w:jc w:val="center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2024年10月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目    录</w:t>
      </w:r>
    </w:p>
    <w:p>
      <w:pPr>
        <w:pStyle w:val="18"/>
        <w:tabs>
          <w:tab w:val="right" w:leader="dot" w:pos="8306"/>
        </w:tabs>
        <w:rPr>
          <w:color w:va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instrText xml:space="preserve">TOC \o "1-3" \h \u </w:instrTex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instrText xml:space="preserve"> HYPERLINK \l _Toc13143 </w:instrText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separate"/>
      </w:r>
      <w:r>
        <w:rPr>
          <w:rFonts w:hint="eastAsia"/>
          <w:color w:val="auto"/>
        </w:rPr>
        <w:t>第一章 项目概述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_Toc13143 \h </w:instrText>
      </w:r>
      <w:r>
        <w:rPr>
          <w:color w:val="auto"/>
        </w:rPr>
        <w:fldChar w:fldCharType="separate"/>
      </w:r>
      <w:r>
        <w:rPr>
          <w:color w:val="auto"/>
        </w:rPr>
        <w:t>- 2 -</w:t>
      </w:r>
      <w:r>
        <w:rPr>
          <w:color w:val="auto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end"/>
      </w:r>
    </w:p>
    <w:p>
      <w:pPr>
        <w:pStyle w:val="19"/>
        <w:tabs>
          <w:tab w:val="right" w:leader="dot" w:pos="8306"/>
        </w:tabs>
        <w:rPr>
          <w:color w:val="auto"/>
        </w:rPr>
      </w:pP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instrText xml:space="preserve"> HYPERLINK \l _Toc10697 </w:instrText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separate"/>
      </w:r>
      <w:r>
        <w:rPr>
          <w:rFonts w:hint="eastAsia"/>
          <w:color w:val="auto"/>
        </w:rPr>
        <w:t>1.1. 项目背景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_Toc10697 \h </w:instrText>
      </w:r>
      <w:r>
        <w:rPr>
          <w:color w:val="auto"/>
        </w:rPr>
        <w:fldChar w:fldCharType="separate"/>
      </w:r>
      <w:r>
        <w:rPr>
          <w:color w:val="auto"/>
        </w:rPr>
        <w:t>- 2 -</w:t>
      </w:r>
      <w:r>
        <w:rPr>
          <w:color w:val="auto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end"/>
      </w:r>
    </w:p>
    <w:p>
      <w:pPr>
        <w:pStyle w:val="19"/>
        <w:tabs>
          <w:tab w:val="right" w:leader="dot" w:pos="8306"/>
        </w:tabs>
        <w:rPr>
          <w:color w:val="auto"/>
        </w:rPr>
      </w:pP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instrText xml:space="preserve"> HYPERLINK \l _Toc20919 </w:instrText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separate"/>
      </w:r>
      <w:r>
        <w:rPr>
          <w:rFonts w:hint="eastAsia"/>
          <w:color w:val="auto"/>
        </w:rPr>
        <w:t xml:space="preserve">1.2. </w:t>
      </w:r>
      <w:r>
        <w:rPr>
          <w:rFonts w:hint="eastAsia"/>
          <w:color w:val="auto"/>
          <w:lang w:val="en-US" w:eastAsia="zh-CN"/>
        </w:rPr>
        <w:t>建设目标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_Toc20919 \h </w:instrText>
      </w:r>
      <w:r>
        <w:rPr>
          <w:color w:val="auto"/>
        </w:rPr>
        <w:fldChar w:fldCharType="separate"/>
      </w:r>
      <w:r>
        <w:rPr>
          <w:color w:val="auto"/>
        </w:rPr>
        <w:t>- 2 -</w:t>
      </w:r>
      <w:r>
        <w:rPr>
          <w:color w:val="auto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end"/>
      </w:r>
    </w:p>
    <w:p>
      <w:pPr>
        <w:pStyle w:val="18"/>
        <w:tabs>
          <w:tab w:val="right" w:leader="dot" w:pos="8306"/>
        </w:tabs>
        <w:rPr>
          <w:color w:val="auto"/>
        </w:rPr>
      </w:pP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instrText xml:space="preserve"> HYPERLINK \l _Toc29838 </w:instrText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separate"/>
      </w:r>
      <w:r>
        <w:rPr>
          <w:rFonts w:hint="eastAsia"/>
          <w:color w:val="auto"/>
        </w:rPr>
        <w:t>第二章 建设方案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_Toc29838 \h </w:instrText>
      </w:r>
      <w:r>
        <w:rPr>
          <w:color w:val="auto"/>
        </w:rPr>
        <w:fldChar w:fldCharType="separate"/>
      </w:r>
      <w:r>
        <w:rPr>
          <w:color w:val="auto"/>
        </w:rPr>
        <w:t>- 2 -</w:t>
      </w:r>
      <w:r>
        <w:rPr>
          <w:color w:val="auto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end"/>
      </w:r>
    </w:p>
    <w:p>
      <w:pPr>
        <w:pStyle w:val="19"/>
        <w:tabs>
          <w:tab w:val="right" w:leader="dot" w:pos="8306"/>
        </w:tabs>
        <w:rPr>
          <w:color w:val="auto"/>
        </w:rPr>
      </w:pP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instrText xml:space="preserve"> HYPERLINK \l _Toc18128 </w:instrText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separate"/>
      </w:r>
      <w:r>
        <w:rPr>
          <w:rFonts w:hint="eastAsia"/>
          <w:color w:val="auto"/>
          <w:lang w:val="en-US" w:eastAsia="zh-CN"/>
        </w:rPr>
        <w:t>2.1. 市级自建平台对接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_Toc18128 \h </w:instrText>
      </w:r>
      <w:r>
        <w:rPr>
          <w:color w:val="auto"/>
        </w:rPr>
        <w:fldChar w:fldCharType="separate"/>
      </w:r>
      <w:r>
        <w:rPr>
          <w:color w:val="auto"/>
        </w:rPr>
        <w:t>- 2 -</w:t>
      </w:r>
      <w:r>
        <w:rPr>
          <w:color w:val="auto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end"/>
      </w:r>
    </w:p>
    <w:p>
      <w:pPr>
        <w:pStyle w:val="15"/>
        <w:tabs>
          <w:tab w:val="right" w:leader="dot" w:pos="8306"/>
        </w:tabs>
        <w:rPr>
          <w:color w:val="auto"/>
        </w:rPr>
      </w:pP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instrText xml:space="preserve"> HYPERLINK \l _Toc16293 </w:instrText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separate"/>
      </w:r>
      <w:r>
        <w:rPr>
          <w:rFonts w:hint="eastAsia"/>
          <w:color w:val="auto"/>
          <w:lang w:val="en-US" w:eastAsia="zh-Hans"/>
        </w:rPr>
        <w:t>2.1.1. 三务公开数据接口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_Toc16293 \h </w:instrText>
      </w:r>
      <w:r>
        <w:rPr>
          <w:color w:val="auto"/>
        </w:rPr>
        <w:fldChar w:fldCharType="separate"/>
      </w:r>
      <w:r>
        <w:rPr>
          <w:color w:val="auto"/>
        </w:rPr>
        <w:t>- 3 -</w:t>
      </w:r>
      <w:r>
        <w:rPr>
          <w:color w:val="auto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end"/>
      </w:r>
    </w:p>
    <w:p>
      <w:pPr>
        <w:pStyle w:val="15"/>
        <w:tabs>
          <w:tab w:val="right" w:leader="dot" w:pos="8306"/>
        </w:tabs>
        <w:rPr>
          <w:color w:val="auto"/>
        </w:rPr>
      </w:pP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instrText xml:space="preserve"> HYPERLINK \l _Toc26247 </w:instrText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separate"/>
      </w:r>
      <w:r>
        <w:rPr>
          <w:rFonts w:hint="eastAsia"/>
          <w:color w:val="auto"/>
          <w:lang w:val="en-US" w:eastAsia="zh-Hans"/>
        </w:rPr>
        <w:t>2.1.2. 三资公开数据接口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_Toc26247 \h </w:instrText>
      </w:r>
      <w:r>
        <w:rPr>
          <w:color w:val="auto"/>
        </w:rPr>
        <w:fldChar w:fldCharType="separate"/>
      </w:r>
      <w:r>
        <w:rPr>
          <w:color w:val="auto"/>
        </w:rPr>
        <w:t>- 3 -</w:t>
      </w:r>
      <w:r>
        <w:rPr>
          <w:color w:val="auto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end"/>
      </w:r>
    </w:p>
    <w:p>
      <w:pPr>
        <w:pStyle w:val="15"/>
        <w:tabs>
          <w:tab w:val="right" w:leader="dot" w:pos="8306"/>
        </w:tabs>
        <w:rPr>
          <w:color w:val="auto"/>
        </w:rPr>
      </w:pP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instrText xml:space="preserve"> HYPERLINK \l _Toc23856 </w:instrText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separate"/>
      </w:r>
      <w:r>
        <w:rPr>
          <w:rFonts w:hint="eastAsia"/>
          <w:color w:val="auto"/>
          <w:lang w:val="en-US" w:eastAsia="zh-Hans"/>
        </w:rPr>
        <w:t>2.1.3. 民生政策数据接口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_Toc23856 \h </w:instrText>
      </w:r>
      <w:r>
        <w:rPr>
          <w:color w:val="auto"/>
        </w:rPr>
        <w:fldChar w:fldCharType="separate"/>
      </w:r>
      <w:r>
        <w:rPr>
          <w:color w:val="auto"/>
        </w:rPr>
        <w:t>- 3 -</w:t>
      </w:r>
      <w:r>
        <w:rPr>
          <w:color w:val="auto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end"/>
      </w:r>
    </w:p>
    <w:p>
      <w:pPr>
        <w:pStyle w:val="15"/>
        <w:tabs>
          <w:tab w:val="right" w:leader="dot" w:pos="8306"/>
        </w:tabs>
        <w:rPr>
          <w:color w:val="auto"/>
        </w:rPr>
      </w:pP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instrText xml:space="preserve"> HYPERLINK \l _Toc6398 </w:instrText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separate"/>
      </w:r>
      <w:r>
        <w:rPr>
          <w:rFonts w:hint="eastAsia"/>
          <w:color w:val="auto"/>
          <w:lang w:val="en-US" w:eastAsia="zh-Hans"/>
        </w:rPr>
        <w:t>2.1.4. 民生资金数据接口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_Toc6398 \h </w:instrText>
      </w:r>
      <w:r>
        <w:rPr>
          <w:color w:val="auto"/>
        </w:rPr>
        <w:fldChar w:fldCharType="separate"/>
      </w:r>
      <w:r>
        <w:rPr>
          <w:color w:val="auto"/>
        </w:rPr>
        <w:t>- 3 -</w:t>
      </w:r>
      <w:r>
        <w:rPr>
          <w:color w:val="auto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end"/>
      </w:r>
    </w:p>
    <w:p>
      <w:pPr>
        <w:pStyle w:val="15"/>
        <w:tabs>
          <w:tab w:val="right" w:leader="dot" w:pos="8306"/>
        </w:tabs>
        <w:rPr>
          <w:color w:val="auto"/>
        </w:rPr>
      </w:pP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instrText xml:space="preserve"> HYPERLINK \l _Toc8484 </w:instrText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separate"/>
      </w:r>
      <w:r>
        <w:rPr>
          <w:rFonts w:hint="eastAsia"/>
          <w:color w:val="auto"/>
          <w:lang w:val="en-US" w:eastAsia="zh-Hans"/>
        </w:rPr>
        <w:t>2.1.5. 民生项目数据接口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_Toc8484 \h </w:instrText>
      </w:r>
      <w:r>
        <w:rPr>
          <w:color w:val="auto"/>
        </w:rPr>
        <w:fldChar w:fldCharType="separate"/>
      </w:r>
      <w:r>
        <w:rPr>
          <w:color w:val="auto"/>
        </w:rPr>
        <w:t>- 4 -</w:t>
      </w:r>
      <w:r>
        <w:rPr>
          <w:color w:val="auto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end"/>
      </w:r>
    </w:p>
    <w:p>
      <w:pPr>
        <w:pStyle w:val="15"/>
        <w:tabs>
          <w:tab w:val="right" w:leader="dot" w:pos="8306"/>
        </w:tabs>
        <w:rPr>
          <w:color w:val="auto"/>
        </w:rPr>
      </w:pP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instrText xml:space="preserve"> HYPERLINK \l _Toc17709 </w:instrText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separate"/>
      </w:r>
      <w:r>
        <w:rPr>
          <w:rFonts w:hint="eastAsia"/>
          <w:color w:val="auto"/>
          <w:lang w:val="en-US" w:eastAsia="zh-Hans"/>
        </w:rPr>
        <w:t>2.1.6. 权力事项清单数据接口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_Toc17709 \h </w:instrText>
      </w:r>
      <w:r>
        <w:rPr>
          <w:color w:val="auto"/>
        </w:rPr>
        <w:fldChar w:fldCharType="separate"/>
      </w:r>
      <w:r>
        <w:rPr>
          <w:color w:val="auto"/>
        </w:rPr>
        <w:t>- 4 -</w:t>
      </w:r>
      <w:r>
        <w:rPr>
          <w:color w:val="auto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end"/>
      </w:r>
    </w:p>
    <w:p>
      <w:pPr>
        <w:pStyle w:val="19"/>
        <w:tabs>
          <w:tab w:val="right" w:leader="dot" w:pos="8306"/>
        </w:tabs>
        <w:rPr>
          <w:color w:val="auto"/>
        </w:rPr>
      </w:pP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instrText xml:space="preserve"> HYPERLINK \l _Toc5653 </w:instrText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separate"/>
      </w:r>
      <w:r>
        <w:rPr>
          <w:rFonts w:hint="eastAsia"/>
          <w:color w:val="auto"/>
          <w:lang w:eastAsia="zh-Hans"/>
        </w:rPr>
        <w:t xml:space="preserve">2.2. </w:t>
      </w:r>
      <w:r>
        <w:rPr>
          <w:rFonts w:hint="eastAsia"/>
          <w:color w:val="auto"/>
          <w:lang w:val="en-US" w:eastAsia="zh-CN"/>
        </w:rPr>
        <w:t>定制优化公开公示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_Toc5653 \h </w:instrText>
      </w:r>
      <w:r>
        <w:rPr>
          <w:color w:val="auto"/>
        </w:rPr>
        <w:fldChar w:fldCharType="separate"/>
      </w:r>
      <w:r>
        <w:rPr>
          <w:color w:val="auto"/>
        </w:rPr>
        <w:t>- 4 -</w:t>
      </w:r>
      <w:r>
        <w:rPr>
          <w:color w:val="auto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end"/>
      </w:r>
    </w:p>
    <w:p>
      <w:pPr>
        <w:pStyle w:val="15"/>
        <w:tabs>
          <w:tab w:val="right" w:leader="dot" w:pos="8306"/>
        </w:tabs>
        <w:rPr>
          <w:color w:val="auto"/>
        </w:rPr>
      </w:pP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instrText xml:space="preserve"> HYPERLINK \l _Toc21765 </w:instrText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separate"/>
      </w:r>
      <w:r>
        <w:rPr>
          <w:rFonts w:hint="eastAsia"/>
          <w:color w:val="auto"/>
          <w:lang w:eastAsia="zh-Hans"/>
        </w:rPr>
        <w:t>2.2.1. 分层级分类型展示公示信息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_Toc21765 \h </w:instrText>
      </w:r>
      <w:r>
        <w:rPr>
          <w:color w:val="auto"/>
        </w:rPr>
        <w:fldChar w:fldCharType="separate"/>
      </w:r>
      <w:r>
        <w:rPr>
          <w:color w:val="auto"/>
        </w:rPr>
        <w:t>- 4 -</w:t>
      </w:r>
      <w:r>
        <w:rPr>
          <w:color w:val="auto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end"/>
      </w:r>
    </w:p>
    <w:p>
      <w:pPr>
        <w:pStyle w:val="15"/>
        <w:tabs>
          <w:tab w:val="right" w:leader="dot" w:pos="8306"/>
        </w:tabs>
        <w:rPr>
          <w:color w:val="auto"/>
        </w:rPr>
      </w:pP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instrText xml:space="preserve"> HYPERLINK \l _Toc2348 </w:instrText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separate"/>
      </w:r>
      <w:r>
        <w:rPr>
          <w:rFonts w:hint="eastAsia"/>
          <w:color w:val="auto"/>
          <w:lang w:eastAsia="zh-Hans"/>
        </w:rPr>
        <w:t>2.2.2. 投诉页面</w:t>
      </w:r>
      <w:r>
        <w:rPr>
          <w:rFonts w:hint="eastAsia"/>
          <w:color w:val="auto"/>
          <w:lang w:val="en-US" w:eastAsia="zh-CN"/>
        </w:rPr>
        <w:t>引导</w:t>
      </w:r>
      <w:r>
        <w:rPr>
          <w:rFonts w:hint="eastAsia"/>
          <w:color w:val="auto"/>
          <w:lang w:eastAsia="zh-Hans"/>
        </w:rPr>
        <w:t>提醒配置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_Toc2348 \h </w:instrText>
      </w:r>
      <w:r>
        <w:rPr>
          <w:color w:val="auto"/>
        </w:rPr>
        <w:fldChar w:fldCharType="separate"/>
      </w:r>
      <w:r>
        <w:rPr>
          <w:color w:val="auto"/>
        </w:rPr>
        <w:t>- 4 -</w:t>
      </w:r>
      <w:r>
        <w:rPr>
          <w:color w:val="auto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end"/>
      </w:r>
    </w:p>
    <w:p>
      <w:pPr>
        <w:pStyle w:val="19"/>
        <w:tabs>
          <w:tab w:val="right" w:leader="dot" w:pos="8306"/>
        </w:tabs>
        <w:rPr>
          <w:color w:val="auto"/>
        </w:rPr>
      </w:pP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instrText xml:space="preserve"> HYPERLINK \l _Toc18435 </w:instrText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separate"/>
      </w:r>
      <w:r>
        <w:rPr>
          <w:rFonts w:hint="eastAsia"/>
          <w:color w:val="auto"/>
          <w:lang w:eastAsia="zh-Hans"/>
        </w:rPr>
        <w:t>2.3. 群众端定制开发</w:t>
      </w:r>
      <w:r>
        <w:rPr>
          <w:rFonts w:hint="eastAsia"/>
          <w:color w:val="auto"/>
          <w:lang w:eastAsia="zh-CN"/>
        </w:rPr>
        <w:t>（一村一码）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_Toc18435 \h </w:instrText>
      </w:r>
      <w:r>
        <w:rPr>
          <w:color w:val="auto"/>
        </w:rPr>
        <w:fldChar w:fldCharType="separate"/>
      </w:r>
      <w:r>
        <w:rPr>
          <w:color w:val="auto"/>
        </w:rPr>
        <w:t>- 5 -</w:t>
      </w:r>
      <w:r>
        <w:rPr>
          <w:color w:val="auto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end"/>
      </w:r>
    </w:p>
    <w:p>
      <w:pPr>
        <w:pStyle w:val="19"/>
        <w:tabs>
          <w:tab w:val="right" w:leader="dot" w:pos="8306"/>
        </w:tabs>
        <w:rPr>
          <w:color w:val="auto"/>
        </w:rPr>
      </w:pP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instrText xml:space="preserve"> HYPERLINK \l _Toc12035 </w:instrText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separate"/>
      </w:r>
      <w:r>
        <w:rPr>
          <w:rFonts w:hint="eastAsia"/>
          <w:color w:val="auto"/>
          <w:lang w:eastAsia="zh-Hans"/>
        </w:rPr>
        <w:t>2.4. 管理端定制开发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</w:rPr>
        <w:t>公示公开</w:t>
      </w:r>
      <w:r>
        <w:rPr>
          <w:rFonts w:hint="eastAsia"/>
          <w:color w:val="auto"/>
          <w:lang w:val="en-US" w:eastAsia="zh-CN"/>
        </w:rPr>
        <w:t>详细</w:t>
      </w:r>
      <w:r>
        <w:rPr>
          <w:rFonts w:hint="eastAsia"/>
          <w:color w:val="auto"/>
        </w:rPr>
        <w:t>信息</w:t>
      </w:r>
      <w:r>
        <w:rPr>
          <w:rFonts w:hint="eastAsia"/>
          <w:color w:val="auto"/>
          <w:lang w:val="en-US" w:eastAsia="zh-CN"/>
        </w:rPr>
        <w:t>分享</w:t>
      </w:r>
      <w:r>
        <w:rPr>
          <w:rFonts w:hint="eastAsia"/>
          <w:color w:val="auto"/>
          <w:lang w:eastAsia="zh-CN"/>
        </w:rPr>
        <w:t>）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_Toc12035 \h </w:instrText>
      </w:r>
      <w:r>
        <w:rPr>
          <w:color w:val="auto"/>
        </w:rPr>
        <w:fldChar w:fldCharType="separate"/>
      </w:r>
      <w:r>
        <w:rPr>
          <w:color w:val="auto"/>
        </w:rPr>
        <w:t>- 5 -</w:t>
      </w:r>
      <w:r>
        <w:rPr>
          <w:color w:val="auto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end"/>
      </w:r>
    </w:p>
    <w:p>
      <w:pPr>
        <w:pStyle w:val="19"/>
        <w:tabs>
          <w:tab w:val="right" w:leader="dot" w:pos="8306"/>
        </w:tabs>
        <w:rPr>
          <w:color w:val="auto"/>
        </w:rPr>
      </w:pP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instrText xml:space="preserve"> HYPERLINK \l _Toc12072 </w:instrText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separate"/>
      </w:r>
      <w:r>
        <w:rPr>
          <w:rFonts w:hint="eastAsia"/>
          <w:color w:val="auto"/>
          <w:lang w:eastAsia="zh-Hans"/>
        </w:rPr>
        <w:t>2.5. 功能清单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_Toc12072 \h </w:instrText>
      </w:r>
      <w:r>
        <w:rPr>
          <w:color w:val="auto"/>
        </w:rPr>
        <w:fldChar w:fldCharType="separate"/>
      </w:r>
      <w:r>
        <w:rPr>
          <w:color w:val="auto"/>
        </w:rPr>
        <w:t>- 6 -</w:t>
      </w:r>
      <w:r>
        <w:rPr>
          <w:color w:val="auto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end"/>
      </w:r>
    </w:p>
    <w:p>
      <w:pPr>
        <w:pStyle w:val="18"/>
        <w:tabs>
          <w:tab w:val="right" w:leader="dot" w:pos="8306"/>
        </w:tabs>
        <w:rPr>
          <w:color w:val="auto"/>
        </w:rPr>
      </w:pP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instrText xml:space="preserve"> HYPERLINK \l _Toc28735 </w:instrText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</w:rPr>
        <w:t xml:space="preserve">第三章 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实施费用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_Toc28735 \h </w:instrText>
      </w:r>
      <w:r>
        <w:rPr>
          <w:color w:val="auto"/>
        </w:rPr>
        <w:fldChar w:fldCharType="separate"/>
      </w:r>
      <w:r>
        <w:rPr>
          <w:color w:val="auto"/>
        </w:rPr>
        <w:t>- 7 -</w:t>
      </w:r>
      <w:r>
        <w:rPr>
          <w:color w:val="auto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end"/>
      </w:r>
    </w:p>
    <w:p>
      <w:pPr>
        <w:rPr>
          <w:color w:val="auto"/>
        </w:rPr>
      </w:pP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fldChar w:fldCharType="end"/>
      </w:r>
      <w:r>
        <w:rPr>
          <w:rFonts w:hint="eastAsia"/>
          <w:color w:val="auto"/>
        </w:rPr>
        <w:br w:type="page"/>
      </w:r>
    </w:p>
    <w:p>
      <w:pPr>
        <w:pStyle w:val="2"/>
        <w:rPr>
          <w:color w:val="auto"/>
        </w:rPr>
      </w:pPr>
      <w:bookmarkStart w:id="6" w:name="_Toc13143"/>
      <w:r>
        <w:rPr>
          <w:rFonts w:hint="eastAsia"/>
          <w:color w:val="auto"/>
        </w:rPr>
        <w:t>项目概述</w:t>
      </w:r>
      <w:bookmarkEnd w:id="6"/>
    </w:p>
    <w:p>
      <w:pPr>
        <w:pStyle w:val="3"/>
        <w:rPr>
          <w:color w:val="auto"/>
        </w:rPr>
      </w:pPr>
      <w:bookmarkStart w:id="7" w:name="_Toc10697"/>
      <w:r>
        <w:rPr>
          <w:rFonts w:hint="eastAsia"/>
          <w:color w:val="auto"/>
        </w:rPr>
        <w:t>项目背景</w:t>
      </w:r>
      <w:bookmarkEnd w:id="7"/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中纪委于2022年初建设了服务人民群众的小微权力“监督一点通”服务平台。通过移动互联网载体，为群众提供对小微权力监督的便捷渠道，实现问题反映一键通达、过程可追踪、结果可查询，助力实现巩固拓展脱贫攻坚成果同乡村振兴有效衔接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为贯彻十九届中央纪委五次全会部署，落实党史学习教育“我为群众办实事”实践活动，补齐基层公权力、小微权力的信息化监督短板，作为试点城市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安阳市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及时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启动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本项目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pStyle w:val="3"/>
        <w:rPr>
          <w:color w:val="auto"/>
        </w:rPr>
      </w:pPr>
      <w:bookmarkStart w:id="8" w:name="_Toc20919"/>
      <w:r>
        <w:rPr>
          <w:rFonts w:hint="eastAsia"/>
          <w:color w:val="auto"/>
          <w:lang w:val="en-US" w:eastAsia="zh-CN"/>
        </w:rPr>
        <w:t>建设目标</w:t>
      </w:r>
      <w:bookmarkEnd w:id="8"/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通过移动互联网载体，为群众提供对小微权力监督的便捷渠道，实现问题反映一键通达、过程可追踪、结果可查询，促进监督下沉落地、融入基层治理，更好提升监督质效，取得良好的政治效果和社会效果。</w:t>
      </w:r>
    </w:p>
    <w:p>
      <w:pPr>
        <w:pStyle w:val="2"/>
        <w:rPr>
          <w:color w:val="auto"/>
        </w:rPr>
      </w:pPr>
      <w:r>
        <w:rPr>
          <w:rFonts w:hint="eastAsia"/>
          <w:color w:val="auto"/>
          <w:lang w:val="en-US" w:eastAsia="zh-CN"/>
        </w:rPr>
        <w:t>建设</w:t>
      </w:r>
      <w:bookmarkStart w:id="23" w:name="_GoBack"/>
      <w:bookmarkEnd w:id="23"/>
      <w:r>
        <w:rPr>
          <w:rFonts w:hint="eastAsia"/>
          <w:color w:val="auto"/>
          <w:lang w:val="en-US" w:eastAsia="zh-CN"/>
        </w:rPr>
        <w:t>需求</w:t>
      </w:r>
    </w:p>
    <w:bookmarkEnd w:id="4"/>
    <w:bookmarkEnd w:id="5"/>
    <w:p>
      <w:pPr>
        <w:pStyle w:val="3"/>
        <w:bidi w:val="0"/>
        <w:rPr>
          <w:rFonts w:hint="default"/>
          <w:color w:val="auto"/>
          <w:lang w:val="en-US" w:eastAsia="zh-CN"/>
        </w:rPr>
      </w:pPr>
      <w:bookmarkStart w:id="9" w:name="_Toc18128"/>
      <w:r>
        <w:rPr>
          <w:rFonts w:hint="eastAsia"/>
          <w:color w:val="auto"/>
          <w:lang w:val="en-US" w:eastAsia="zh-CN"/>
        </w:rPr>
        <w:t>市级自建平台对接</w:t>
      </w:r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安阳市自建了“安阳市基层智慧监督平台”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（以下简称“自建系统”）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，其中包括了三务公开、三资公开、民生政策、民生资金、民生项目、小微权力、对村巡察等信息公示模块。为满足河南省基层小微权力“监督一点通”项目的全省试点工作要求，安阳市纪委需要将自建系统与省平台实现数据和功能的对接，以打通省、市两级平台的数据共享流程，减轻基层重复录入的工作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系统对接方式为：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通过市平台进行公示信息发布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Hans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并将市平台数据按照省平台的标准规范推送给省平台相应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模块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进行展示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Hans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在市平台增加投诉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入口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功能并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跳转到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省平台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进行后续业务办理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Hans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工作人员在省平台进行投诉问题的分派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Hans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处置和反馈等业务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Hans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并引导群众在省平台对反馈结果进行评价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标准数据接口改造，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接口类型包括以下内容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Hans"/>
        </w:rPr>
        <w:t>：</w:t>
      </w:r>
    </w:p>
    <w:p>
      <w:pPr>
        <w:pStyle w:val="4"/>
        <w:bidi w:val="0"/>
        <w:rPr>
          <w:rFonts w:hint="eastAsia"/>
          <w:color w:val="auto"/>
          <w:lang w:val="en-US" w:eastAsia="zh-Hans"/>
        </w:rPr>
      </w:pPr>
      <w:bookmarkStart w:id="10" w:name="_Toc16293"/>
      <w:r>
        <w:rPr>
          <w:rFonts w:hint="eastAsia"/>
          <w:color w:val="auto"/>
          <w:lang w:val="en-US" w:eastAsia="zh-Hans"/>
        </w:rPr>
        <w:t>三务公开数据接口</w:t>
      </w:r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三务公开数据接口支持党务公开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Hans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村务公开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Hans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财物公开三类数据上报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Hans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其中党务公开包括党费收缴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Hans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三会一课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Hans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党员发展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Hans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党建活动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Hans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四议两公开等二级栏目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Hans"/>
        </w:rPr>
        <w:t>；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村务公开包括普通事项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Hans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组织会议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Hans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重大事项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Hans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疫情放控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Hans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四议两公开等二级栏目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Hans"/>
        </w:rPr>
        <w:t>；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财物公开包括财物公开信息和四议两公开栏目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Hans"/>
        </w:rPr>
        <w:t>。</w:t>
      </w:r>
    </w:p>
    <w:p>
      <w:pPr>
        <w:pStyle w:val="4"/>
        <w:bidi w:val="0"/>
        <w:rPr>
          <w:rFonts w:hint="default"/>
          <w:color w:val="auto"/>
          <w:lang w:val="en-US" w:eastAsia="zh-Hans"/>
        </w:rPr>
      </w:pPr>
      <w:bookmarkStart w:id="11" w:name="_Toc26247"/>
      <w:r>
        <w:rPr>
          <w:rFonts w:hint="eastAsia"/>
          <w:color w:val="auto"/>
          <w:lang w:val="en-US" w:eastAsia="zh-Hans"/>
        </w:rPr>
        <w:t>三资公开数据接口</w:t>
      </w:r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三资公开数据接口支持村级资金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Hans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村级资产和村级资源三类数据的上报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Hans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其中村级资产可按收入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Hans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支出进行明细查询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Hans"/>
        </w:rPr>
        <w:t>；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村级资产和村级资源可按年度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Hans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月份和资产状态进行查询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Hans"/>
        </w:rPr>
        <w:t>；</w:t>
      </w:r>
    </w:p>
    <w:p>
      <w:pPr>
        <w:pStyle w:val="4"/>
        <w:bidi w:val="0"/>
        <w:rPr>
          <w:rFonts w:hint="default"/>
          <w:color w:val="auto"/>
          <w:lang w:val="en-US" w:eastAsia="zh-Hans"/>
        </w:rPr>
      </w:pPr>
      <w:bookmarkStart w:id="12" w:name="_Toc23856"/>
      <w:r>
        <w:rPr>
          <w:rFonts w:hint="eastAsia"/>
          <w:color w:val="auto"/>
          <w:lang w:val="en-US" w:eastAsia="zh-Hans"/>
        </w:rPr>
        <w:t>民生政策数据接口</w:t>
      </w:r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提供民生政策数据接口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Hans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用于接收各地推送的民生政策数据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Hans"/>
        </w:rPr>
        <w:t>。</w:t>
      </w:r>
    </w:p>
    <w:p>
      <w:pPr>
        <w:pStyle w:val="4"/>
        <w:bidi w:val="0"/>
        <w:rPr>
          <w:rFonts w:hint="default"/>
          <w:color w:val="auto"/>
          <w:lang w:val="en-US" w:eastAsia="zh-Hans"/>
        </w:rPr>
      </w:pPr>
      <w:bookmarkStart w:id="13" w:name="_Toc6398"/>
      <w:r>
        <w:rPr>
          <w:rFonts w:hint="eastAsia"/>
          <w:color w:val="auto"/>
          <w:lang w:val="en-US" w:eastAsia="zh-Hans"/>
        </w:rPr>
        <w:t>民生资金数据接口</w:t>
      </w:r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提供民生资金数据接口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Hans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用于接收各地推送的各类民生资金数据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Hans"/>
        </w:rPr>
        <w:t>。</w:t>
      </w:r>
    </w:p>
    <w:p>
      <w:pPr>
        <w:pStyle w:val="4"/>
        <w:bidi w:val="0"/>
        <w:rPr>
          <w:rFonts w:hint="default"/>
          <w:color w:val="auto"/>
          <w:lang w:val="en-US" w:eastAsia="zh-Hans"/>
        </w:rPr>
      </w:pPr>
      <w:bookmarkStart w:id="14" w:name="_Toc8484"/>
      <w:r>
        <w:rPr>
          <w:rFonts w:hint="eastAsia"/>
          <w:color w:val="auto"/>
          <w:lang w:val="en-US" w:eastAsia="zh-Hans"/>
        </w:rPr>
        <w:t>民生项目数据接口</w:t>
      </w:r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提供民生项目数据接口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Hans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用于接收各地推送的各类民生项目数据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Hans"/>
        </w:rPr>
        <w:t>。</w:t>
      </w:r>
    </w:p>
    <w:p>
      <w:pPr>
        <w:pStyle w:val="4"/>
        <w:bidi w:val="0"/>
        <w:rPr>
          <w:rFonts w:hint="default"/>
          <w:color w:val="auto"/>
          <w:lang w:val="en-US" w:eastAsia="zh-Hans"/>
        </w:rPr>
      </w:pPr>
      <w:bookmarkStart w:id="15" w:name="_Toc17709"/>
      <w:r>
        <w:rPr>
          <w:rFonts w:hint="eastAsia"/>
          <w:color w:val="auto"/>
          <w:lang w:val="en-US" w:eastAsia="zh-Hans"/>
        </w:rPr>
        <w:t>权力事项清单数据接口</w:t>
      </w:r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在省平台维护小微权力事项清单后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Hans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推送给市平台展示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Hans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并与公示数据绑定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Hans"/>
        </w:rPr>
        <w:t>。</w:t>
      </w:r>
    </w:p>
    <w:p>
      <w:pPr>
        <w:pStyle w:val="3"/>
        <w:bidi w:val="0"/>
        <w:rPr>
          <w:rFonts w:hint="eastAsia"/>
          <w:color w:val="auto"/>
          <w:lang w:eastAsia="zh-Hans"/>
        </w:rPr>
      </w:pPr>
      <w:bookmarkStart w:id="16" w:name="_Toc5653"/>
      <w:r>
        <w:rPr>
          <w:rFonts w:hint="eastAsia"/>
          <w:color w:val="auto"/>
          <w:lang w:val="en-US" w:eastAsia="zh-CN"/>
        </w:rPr>
        <w:t>定制优化公开公示</w:t>
      </w:r>
      <w:bookmarkEnd w:id="16"/>
    </w:p>
    <w:p>
      <w:pPr>
        <w:pStyle w:val="4"/>
        <w:bidi w:val="0"/>
        <w:rPr>
          <w:rFonts w:hint="eastAsia"/>
          <w:color w:val="auto"/>
          <w:lang w:eastAsia="zh-Hans"/>
        </w:rPr>
      </w:pPr>
      <w:bookmarkStart w:id="17" w:name="_Toc21765"/>
      <w:r>
        <w:rPr>
          <w:rFonts w:hint="eastAsia"/>
          <w:color w:val="auto"/>
          <w:lang w:eastAsia="zh-Hans"/>
        </w:rPr>
        <w:t>分层级分类型展示公示信息</w:t>
      </w:r>
      <w:bookmarkEnd w:id="17"/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Hans"/>
        </w:rPr>
        <w:t>支持按监督事项所属一级分类、二级分类展示本村（社区）公示信息列表以及公示信息详情页面。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界面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Hans"/>
        </w:rPr>
        <w:t>参照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合肥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Hans"/>
        </w:rPr>
        <w:t>样式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：</w:t>
      </w:r>
    </w:p>
    <w:p>
      <w:pPr>
        <w:pStyle w:val="25"/>
        <w:jc w:val="center"/>
        <w:rPr>
          <w:rFonts w:hint="eastAsia"/>
          <w:color w:val="auto"/>
          <w:lang w:eastAsia="zh-Hans"/>
        </w:rPr>
      </w:pPr>
      <w:r>
        <w:rPr>
          <w:rFonts w:hint="eastAsia"/>
          <w:color w:val="auto"/>
        </w:rPr>
        <w:drawing>
          <wp:inline distT="0" distB="0" distL="114300" distR="114300">
            <wp:extent cx="1558925" cy="2949575"/>
            <wp:effectExtent l="0" t="0" r="317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294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eastAsia"/>
          <w:color w:val="auto"/>
          <w:lang w:eastAsia="zh-Hans"/>
        </w:rPr>
      </w:pPr>
      <w:bookmarkStart w:id="18" w:name="_Toc2348"/>
      <w:r>
        <w:rPr>
          <w:rFonts w:hint="eastAsia"/>
          <w:color w:val="auto"/>
          <w:lang w:eastAsia="zh-Hans"/>
        </w:rPr>
        <w:t>投诉页面</w:t>
      </w:r>
      <w:r>
        <w:rPr>
          <w:rFonts w:hint="eastAsia"/>
          <w:color w:val="auto"/>
          <w:lang w:val="en-US" w:eastAsia="zh-CN"/>
        </w:rPr>
        <w:t>引导</w:t>
      </w:r>
      <w:r>
        <w:rPr>
          <w:rFonts w:hint="eastAsia"/>
          <w:color w:val="auto"/>
          <w:lang w:eastAsia="zh-Hans"/>
        </w:rPr>
        <w:t>提醒配置</w:t>
      </w:r>
      <w:bookmarkEnd w:id="18"/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Hans"/>
        </w:rPr>
        <w:t>升级平台投诉举报页面，提供12345、12388热线的投诉业务范围说明信息和分流投诉链接，支持通过链接直接拨打12345、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立即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Hans"/>
        </w:rPr>
        <w:t>前往12388举报平台或进行直接投诉。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界面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Hans"/>
        </w:rPr>
        <w:t>参照重庆样式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：</w:t>
      </w:r>
    </w:p>
    <w:p>
      <w:pPr>
        <w:pStyle w:val="25"/>
        <w:jc w:val="center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</w:rPr>
        <w:drawing>
          <wp:inline distT="0" distB="0" distL="114300" distR="114300">
            <wp:extent cx="1550035" cy="2926080"/>
            <wp:effectExtent l="0" t="0" r="1206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  <w:color w:val="auto"/>
          <w:lang w:eastAsia="zh-Hans"/>
        </w:rPr>
      </w:pPr>
      <w:bookmarkStart w:id="19" w:name="_Toc18435"/>
      <w:r>
        <w:rPr>
          <w:rFonts w:hint="eastAsia"/>
          <w:color w:val="auto"/>
          <w:lang w:eastAsia="zh-Hans"/>
        </w:rPr>
        <w:t>群众端定制开发</w:t>
      </w:r>
      <w:r>
        <w:rPr>
          <w:rFonts w:hint="eastAsia"/>
          <w:color w:val="auto"/>
          <w:lang w:eastAsia="zh-CN"/>
        </w:rPr>
        <w:t>（一村一码）</w:t>
      </w:r>
      <w:bookmarkEnd w:id="19"/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Hans"/>
        </w:rPr>
        <w:t>实现一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村（社区）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Hans"/>
        </w:rPr>
        <w:t>一码，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便于村（社区）宣传推广工作开展，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Hans"/>
        </w:rPr>
        <w:t>支持群众无论在全国任何地区，扫码后直接跳转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该村（社区）公示页面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减少群众选择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Hans"/>
        </w:rPr>
        <w:t>所在镇及村位置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的操作，从而起到精准监督的作用。</w:t>
      </w:r>
    </w:p>
    <w:p>
      <w:pPr>
        <w:pStyle w:val="3"/>
        <w:bidi w:val="0"/>
        <w:rPr>
          <w:rFonts w:hint="eastAsia"/>
          <w:color w:val="auto"/>
          <w:lang w:eastAsia="zh-Hans"/>
        </w:rPr>
      </w:pPr>
      <w:bookmarkStart w:id="20" w:name="_Toc12035"/>
      <w:r>
        <w:rPr>
          <w:rFonts w:hint="eastAsia"/>
          <w:color w:val="auto"/>
          <w:lang w:eastAsia="zh-Hans"/>
        </w:rPr>
        <w:t>管理端定制开发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</w:rPr>
        <w:t>公示公开</w:t>
      </w:r>
      <w:r>
        <w:rPr>
          <w:rFonts w:hint="eastAsia"/>
          <w:color w:val="auto"/>
          <w:lang w:val="en-US" w:eastAsia="zh-CN"/>
        </w:rPr>
        <w:t>详细</w:t>
      </w:r>
      <w:r>
        <w:rPr>
          <w:rFonts w:hint="eastAsia"/>
          <w:color w:val="auto"/>
        </w:rPr>
        <w:t>信息</w:t>
      </w:r>
      <w:r>
        <w:rPr>
          <w:rFonts w:hint="eastAsia"/>
          <w:color w:val="auto"/>
          <w:lang w:val="en-US" w:eastAsia="zh-CN"/>
        </w:rPr>
        <w:t>分享</w:t>
      </w:r>
      <w:r>
        <w:rPr>
          <w:rFonts w:hint="eastAsia"/>
          <w:color w:val="auto"/>
          <w:lang w:eastAsia="zh-CN"/>
        </w:rPr>
        <w:t>）</w:t>
      </w:r>
      <w:bookmarkEnd w:id="20"/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支持将公示公开信息内容页面进行分享（生成h5网页链接），用户点击该分享链接即可自动显示具体内容页面，无需选择区划地址，实现精准分享。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Hans"/>
        </w:rPr>
        <w:br w:type="page"/>
      </w:r>
    </w:p>
    <w:p>
      <w:pPr>
        <w:pStyle w:val="3"/>
        <w:rPr>
          <w:color w:val="auto"/>
          <w:lang w:eastAsia="zh-Hans"/>
        </w:rPr>
      </w:pPr>
      <w:bookmarkStart w:id="21" w:name="_Toc12072"/>
      <w:r>
        <w:rPr>
          <w:rFonts w:hint="eastAsia"/>
          <w:color w:val="auto"/>
          <w:lang w:eastAsia="zh-Hans"/>
        </w:rPr>
        <w:t>功能清单</w:t>
      </w:r>
      <w:bookmarkEnd w:id="21"/>
    </w:p>
    <w:tbl>
      <w:tblPr>
        <w:tblStyle w:val="2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815"/>
        <w:gridCol w:w="2346"/>
        <w:gridCol w:w="4856"/>
      </w:tblGrid>
      <w:tr>
        <w:trPr>
          <w:trHeight w:val="272" w:hRule="atLeast"/>
          <w:tblHeader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一级功能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二级功能</w:t>
            </w:r>
          </w:p>
        </w:tc>
        <w:tc>
          <w:tcPr>
            <w:tcW w:w="2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功能描述</w:t>
            </w:r>
          </w:p>
        </w:tc>
      </w:tr>
      <w:tr>
        <w:trPr>
          <w:trHeight w:val="375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市级自建平台对接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三务公开数据接口</w:t>
            </w:r>
          </w:p>
        </w:tc>
        <w:tc>
          <w:tcPr>
            <w:tcW w:w="2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实现省平台接收三务公开数据</w:t>
            </w:r>
          </w:p>
        </w:tc>
      </w:tr>
      <w:tr>
        <w:trPr>
          <w:trHeight w:val="375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三资公开数据接口</w:t>
            </w:r>
          </w:p>
        </w:tc>
        <w:tc>
          <w:tcPr>
            <w:tcW w:w="2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实现省平台接收三资公开数据</w:t>
            </w:r>
          </w:p>
        </w:tc>
      </w:tr>
      <w:tr>
        <w:trPr>
          <w:trHeight w:val="375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民生政策数据接口</w:t>
            </w:r>
          </w:p>
        </w:tc>
        <w:tc>
          <w:tcPr>
            <w:tcW w:w="2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实现省平台接收民生政策数据</w:t>
            </w:r>
          </w:p>
        </w:tc>
      </w:tr>
      <w:tr>
        <w:trPr>
          <w:trHeight w:val="375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民生资金数据接口</w:t>
            </w:r>
          </w:p>
        </w:tc>
        <w:tc>
          <w:tcPr>
            <w:tcW w:w="2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实现省平台接收民生资金数据</w:t>
            </w:r>
          </w:p>
        </w:tc>
      </w:tr>
      <w:tr>
        <w:trPr>
          <w:trHeight w:val="375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民生项目数据接口</w:t>
            </w:r>
          </w:p>
        </w:tc>
        <w:tc>
          <w:tcPr>
            <w:tcW w:w="2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实现省平台接收民生项目数据</w:t>
            </w:r>
          </w:p>
        </w:tc>
      </w:tr>
      <w:tr>
        <w:trPr>
          <w:trHeight w:val="375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权力事项清单数据接口</w:t>
            </w:r>
          </w:p>
        </w:tc>
        <w:tc>
          <w:tcPr>
            <w:tcW w:w="2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实现省平台共享权力事项清单数据</w:t>
            </w:r>
          </w:p>
        </w:tc>
      </w:tr>
      <w:tr>
        <w:trPr>
          <w:trHeight w:val="48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47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定制优化公开公示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分层级分类型展示公示信息</w:t>
            </w:r>
          </w:p>
        </w:tc>
        <w:tc>
          <w:tcPr>
            <w:tcW w:w="2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支持按监督事项所属一级分类、二级分类展示本村（社区）公示信息列表以及公示信息详情页面。</w:t>
            </w:r>
          </w:p>
        </w:tc>
      </w:tr>
      <w:tr>
        <w:trPr>
          <w:trHeight w:val="72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投诉页面引导提醒配置</w:t>
            </w:r>
          </w:p>
        </w:tc>
        <w:tc>
          <w:tcPr>
            <w:tcW w:w="2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升级平台投诉举报页面，提供12345、12388热线的投诉业务范围说明信息和分流投诉链接，支持通过链接直接拨打12345、立即前往12388举报平台或进行直接投诉。</w:t>
            </w:r>
          </w:p>
        </w:tc>
      </w:tr>
      <w:tr>
        <w:trPr>
          <w:trHeight w:val="96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群众端定制开发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一村一码</w:t>
            </w:r>
          </w:p>
        </w:tc>
        <w:tc>
          <w:tcPr>
            <w:tcW w:w="2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实现一村（社区）一码，便于村（社区）宣传推广工作开展，支持群众无论在全国任何地区，扫码后直接跳转该村（社区）公示页面，减少群众选择所在镇及村位置的操作，从而起到精准监督的作用。</w:t>
            </w:r>
          </w:p>
        </w:tc>
      </w:tr>
      <w:tr>
        <w:trPr>
          <w:trHeight w:val="960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管理端定制开发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公示公开详细信息分享</w:t>
            </w:r>
          </w:p>
        </w:tc>
        <w:tc>
          <w:tcPr>
            <w:tcW w:w="2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支持将公示公开信息内容页面进行分享（生成h5网页链接），用户点击该分享链接即可自动显示具体内容页面，无需选择区划地址，实现精准分享。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br w:type="page"/>
      </w:r>
    </w:p>
    <w:p>
      <w:pPr>
        <w:pStyle w:val="2"/>
        <w:rPr>
          <w:rFonts w:hint="eastAsia" w:ascii="仿宋_GB2312" w:hAnsi="仿宋_GB2312" w:eastAsia="仿宋_GB2312" w:cs="仿宋_GB2312"/>
          <w:color w:val="auto"/>
        </w:rPr>
      </w:pPr>
      <w:bookmarkStart w:id="22" w:name="_Toc28735"/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采购</w:t>
      </w:r>
      <w:bookmarkEnd w:id="22"/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本次采购预算为32.725万元，主要内容如下：</w:t>
      </w:r>
    </w:p>
    <w:tbl>
      <w:tblPr>
        <w:tblStyle w:val="21"/>
        <w:tblW w:w="6013" w:type="pct"/>
        <w:tblInd w:w="-8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742"/>
        <w:gridCol w:w="4879"/>
        <w:gridCol w:w="1534"/>
        <w:gridCol w:w="1103"/>
        <w:gridCol w:w="1294"/>
      </w:tblGrid>
      <w:tr>
        <w:trPr>
          <w:trHeight w:val="389" w:hRule="atLeast"/>
          <w:tblHeader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2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具体内容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（万元/人月）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（人月）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</w:tr>
      <w:tr>
        <w:trPr>
          <w:trHeight w:val="27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市级自建平台对接</w:t>
            </w:r>
          </w:p>
        </w:tc>
        <w:tc>
          <w:tcPr>
            <w:tcW w:w="2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三务公开标准接口，实现省平台接收三务公开数据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3.85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￥1.925</w:t>
            </w:r>
          </w:p>
        </w:tc>
      </w:tr>
      <w:tr>
        <w:trPr>
          <w:trHeight w:val="27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6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三资公开标准接口，实现省平台接收三资公开数据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3.85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￥1.925</w:t>
            </w:r>
          </w:p>
        </w:tc>
      </w:tr>
      <w:tr>
        <w:trPr>
          <w:trHeight w:val="27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6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民生政策标准接口，实现省平台接收民生政策数据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3.85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￥3.850</w:t>
            </w:r>
          </w:p>
        </w:tc>
      </w:tr>
      <w:tr>
        <w:trPr>
          <w:trHeight w:val="9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6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民生资金标准接口，实现省平台接收民生资金数据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3.85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￥1.925</w:t>
            </w:r>
          </w:p>
        </w:tc>
      </w:tr>
      <w:tr>
        <w:trPr>
          <w:trHeight w:val="27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6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民生项目标准接口，实现省平台接收民生项目数据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3.85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￥1.925</w:t>
            </w:r>
          </w:p>
        </w:tc>
      </w:tr>
      <w:tr>
        <w:trPr>
          <w:trHeight w:val="371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6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权力事项清单标准接口，实现省平台共享权力事项清单数据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（GET）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3.85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￥1.925</w:t>
            </w:r>
          </w:p>
        </w:tc>
      </w:tr>
      <w:tr>
        <w:trPr>
          <w:trHeight w:val="1228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定制优化公开公示</w:t>
            </w:r>
          </w:p>
        </w:tc>
        <w:tc>
          <w:tcPr>
            <w:tcW w:w="2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分层级分类型展示公示信息:支持按监督事项所属一级分类、二级分类展示本村（社区）公示信息列表以及公示信息详情页面。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3.85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￥7.700</w:t>
            </w:r>
          </w:p>
        </w:tc>
      </w:tr>
      <w:tr>
        <w:trPr>
          <w:trHeight w:val="51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6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升级平台投诉举报页面，提供12345、12388热线的投诉业务范围说明信息和分流投诉链接，支持通过链接直接拨打12345、立即前往12388举报平台或进行直接投诉。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3.85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￥1.925</w:t>
            </w:r>
          </w:p>
        </w:tc>
      </w:tr>
      <w:tr>
        <w:trPr>
          <w:trHeight w:val="765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群众端定制开发</w:t>
            </w:r>
          </w:p>
        </w:tc>
        <w:tc>
          <w:tcPr>
            <w:tcW w:w="2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一村一码：实现一村（社区）一码，便于村（社区）宣传推广工作开展，支持群众无论在全国任何地区，扫码后直接跳转该村（社区）公示页面，减少群众选择所在镇及村位置的操作，从而起到精准监督的作用。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3.85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￥3.850</w:t>
            </w:r>
          </w:p>
        </w:tc>
      </w:tr>
      <w:tr>
        <w:trPr>
          <w:trHeight w:val="109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管理端定制开发</w:t>
            </w:r>
          </w:p>
        </w:tc>
        <w:tc>
          <w:tcPr>
            <w:tcW w:w="2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公示公开详细信息分享：支持将公示公开信息内容页面进行分享（生成h5网页链接），用户点击该分享链接即可显示具体内容页面，无需选择区划地址，实现精准分享。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3.85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￥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5.775</w:t>
            </w:r>
          </w:p>
        </w:tc>
      </w:tr>
      <w:tr>
        <w:trPr>
          <w:trHeight w:val="268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2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righ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￥32.725</w:t>
            </w:r>
          </w:p>
        </w:tc>
      </w:tr>
    </w:tbl>
    <w:p>
      <w:pPr>
        <w:spacing w:line="360" w:lineRule="auto"/>
        <w:rPr>
          <w:rFonts w:ascii="仿宋" w:hAnsi="仿宋" w:eastAsia="仿宋" w:cs="仿宋"/>
          <w:color w:val="auto"/>
          <w:sz w:val="28"/>
          <w:szCs w:val="28"/>
          <w:lang w:eastAsia="zh-Hans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7A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88"/>
    <w:family w:val="swiss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tabs>
        <w:tab w:val="clear" w:pos="4153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  <w:rPr>
                              <w:rFonts w:ascii="仿宋" w:hAnsi="仿宋" w:eastAsia="仿宋" w:cs="仿宋"/>
                              <w:sz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XDIm4LAIAAFU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odcsCxv9YHmEjuJ5u9wHCJh0jaL0Spy1QrelypwnI7bzn/sU9fg3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s0lY7tAAAAAFAQAADwAAAAAAAAABACAAAAA4AAAAZHJzL2Rv&#10;d25yZXYueG1sUEsBAhQAFAAAAAgAh07iQBcMibgsAgAAVQQAAA4AAAAAAAAAAQAgAAAAN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rPr>
                        <w:rFonts w:ascii="仿宋" w:hAnsi="仿宋" w:eastAsia="仿宋" w:cs="仿宋"/>
                        <w:sz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101B82"/>
    <w:multiLevelType w:val="multilevel"/>
    <w:tmpl w:val="77101B82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xNDA1NjQ5ODg1ZDcyYWI0NDA2MTlhMTk5Nzg4MGIifQ=="/>
  </w:docVars>
  <w:rsids>
    <w:rsidRoot w:val="581361BC"/>
    <w:rsid w:val="00021774"/>
    <w:rsid w:val="000335C1"/>
    <w:rsid w:val="00043905"/>
    <w:rsid w:val="000631A1"/>
    <w:rsid w:val="000C0E4B"/>
    <w:rsid w:val="00111377"/>
    <w:rsid w:val="00127BCD"/>
    <w:rsid w:val="00160FA0"/>
    <w:rsid w:val="001726B0"/>
    <w:rsid w:val="00187ACA"/>
    <w:rsid w:val="001A1AD7"/>
    <w:rsid w:val="001C02C5"/>
    <w:rsid w:val="001E5E70"/>
    <w:rsid w:val="001E6506"/>
    <w:rsid w:val="00206F59"/>
    <w:rsid w:val="00207C41"/>
    <w:rsid w:val="0021635F"/>
    <w:rsid w:val="0022540E"/>
    <w:rsid w:val="002B22C4"/>
    <w:rsid w:val="002F4417"/>
    <w:rsid w:val="003938D2"/>
    <w:rsid w:val="00400382"/>
    <w:rsid w:val="004465F3"/>
    <w:rsid w:val="004742B0"/>
    <w:rsid w:val="00474A73"/>
    <w:rsid w:val="00481BC6"/>
    <w:rsid w:val="004F384C"/>
    <w:rsid w:val="00511AD8"/>
    <w:rsid w:val="005644B7"/>
    <w:rsid w:val="00590650"/>
    <w:rsid w:val="005E00CF"/>
    <w:rsid w:val="00634024"/>
    <w:rsid w:val="007018F1"/>
    <w:rsid w:val="00701D11"/>
    <w:rsid w:val="00712106"/>
    <w:rsid w:val="007268C4"/>
    <w:rsid w:val="00740ECE"/>
    <w:rsid w:val="007416FF"/>
    <w:rsid w:val="007538F7"/>
    <w:rsid w:val="00755846"/>
    <w:rsid w:val="00772C11"/>
    <w:rsid w:val="00790A5E"/>
    <w:rsid w:val="008058D9"/>
    <w:rsid w:val="00815688"/>
    <w:rsid w:val="00834C4B"/>
    <w:rsid w:val="0084113D"/>
    <w:rsid w:val="008708F1"/>
    <w:rsid w:val="008C77B4"/>
    <w:rsid w:val="00900D33"/>
    <w:rsid w:val="009558A5"/>
    <w:rsid w:val="009E720F"/>
    <w:rsid w:val="00A66121"/>
    <w:rsid w:val="00AA17BB"/>
    <w:rsid w:val="00AE3BE8"/>
    <w:rsid w:val="00B07BE3"/>
    <w:rsid w:val="00B60A3D"/>
    <w:rsid w:val="00B61CC1"/>
    <w:rsid w:val="00B62EAF"/>
    <w:rsid w:val="00B67105"/>
    <w:rsid w:val="00B92349"/>
    <w:rsid w:val="00BC3491"/>
    <w:rsid w:val="00C70BDD"/>
    <w:rsid w:val="00CA627C"/>
    <w:rsid w:val="00CD3980"/>
    <w:rsid w:val="00D3178F"/>
    <w:rsid w:val="00D418F6"/>
    <w:rsid w:val="00D50954"/>
    <w:rsid w:val="00D91138"/>
    <w:rsid w:val="00D92F63"/>
    <w:rsid w:val="00D9437C"/>
    <w:rsid w:val="00DB3A29"/>
    <w:rsid w:val="00E31D19"/>
    <w:rsid w:val="00E61A5D"/>
    <w:rsid w:val="00E7172F"/>
    <w:rsid w:val="00E939F4"/>
    <w:rsid w:val="00EC16AC"/>
    <w:rsid w:val="00EF6E31"/>
    <w:rsid w:val="00F63DF4"/>
    <w:rsid w:val="00F9023D"/>
    <w:rsid w:val="00FB5A10"/>
    <w:rsid w:val="026C7207"/>
    <w:rsid w:val="02AF5E49"/>
    <w:rsid w:val="031217FD"/>
    <w:rsid w:val="04280EC4"/>
    <w:rsid w:val="076927AB"/>
    <w:rsid w:val="0A990F8B"/>
    <w:rsid w:val="0CF47BEB"/>
    <w:rsid w:val="0D404932"/>
    <w:rsid w:val="0D40672B"/>
    <w:rsid w:val="0DA74788"/>
    <w:rsid w:val="0DDB6490"/>
    <w:rsid w:val="0FB32C8F"/>
    <w:rsid w:val="11CC1CE5"/>
    <w:rsid w:val="12930022"/>
    <w:rsid w:val="12D43648"/>
    <w:rsid w:val="13680DD1"/>
    <w:rsid w:val="13C13ACE"/>
    <w:rsid w:val="1619758F"/>
    <w:rsid w:val="1684129F"/>
    <w:rsid w:val="17244298"/>
    <w:rsid w:val="18950986"/>
    <w:rsid w:val="19186967"/>
    <w:rsid w:val="1A6C036D"/>
    <w:rsid w:val="1D7233A4"/>
    <w:rsid w:val="1D72442F"/>
    <w:rsid w:val="1DFD1B47"/>
    <w:rsid w:val="1E8D2B87"/>
    <w:rsid w:val="1FDD29F4"/>
    <w:rsid w:val="20397070"/>
    <w:rsid w:val="22454091"/>
    <w:rsid w:val="22D26816"/>
    <w:rsid w:val="23D05FEB"/>
    <w:rsid w:val="23E616BA"/>
    <w:rsid w:val="24D87C8B"/>
    <w:rsid w:val="257F2E73"/>
    <w:rsid w:val="25D4366A"/>
    <w:rsid w:val="25E923FE"/>
    <w:rsid w:val="269B657B"/>
    <w:rsid w:val="27BA6430"/>
    <w:rsid w:val="2A4D1C0C"/>
    <w:rsid w:val="2D36487E"/>
    <w:rsid w:val="2DDB1836"/>
    <w:rsid w:val="2EC9236B"/>
    <w:rsid w:val="2FBA67F9"/>
    <w:rsid w:val="334860FD"/>
    <w:rsid w:val="342766EB"/>
    <w:rsid w:val="34322C85"/>
    <w:rsid w:val="37335B5B"/>
    <w:rsid w:val="379B1DC7"/>
    <w:rsid w:val="39721674"/>
    <w:rsid w:val="3AC12648"/>
    <w:rsid w:val="3D266FFC"/>
    <w:rsid w:val="3DD173DA"/>
    <w:rsid w:val="3EC23065"/>
    <w:rsid w:val="3F5F085E"/>
    <w:rsid w:val="45456A71"/>
    <w:rsid w:val="459E7473"/>
    <w:rsid w:val="45BA0E9D"/>
    <w:rsid w:val="465F1BD5"/>
    <w:rsid w:val="46F34946"/>
    <w:rsid w:val="47581886"/>
    <w:rsid w:val="47EC2FDD"/>
    <w:rsid w:val="499B674A"/>
    <w:rsid w:val="4AEF5300"/>
    <w:rsid w:val="4AF37B13"/>
    <w:rsid w:val="4B926318"/>
    <w:rsid w:val="4BD92464"/>
    <w:rsid w:val="4CF7150B"/>
    <w:rsid w:val="4D3E5E49"/>
    <w:rsid w:val="4D9B7B6C"/>
    <w:rsid w:val="4E7543B7"/>
    <w:rsid w:val="50F87203"/>
    <w:rsid w:val="536A49E0"/>
    <w:rsid w:val="551E710A"/>
    <w:rsid w:val="55557E9D"/>
    <w:rsid w:val="57517ED5"/>
    <w:rsid w:val="581361BC"/>
    <w:rsid w:val="58DA530F"/>
    <w:rsid w:val="5B4E6865"/>
    <w:rsid w:val="5BB42718"/>
    <w:rsid w:val="5C7C18AD"/>
    <w:rsid w:val="5FC94074"/>
    <w:rsid w:val="5FF2609F"/>
    <w:rsid w:val="606A52A4"/>
    <w:rsid w:val="609F5A9A"/>
    <w:rsid w:val="62BC2EE0"/>
    <w:rsid w:val="651645DB"/>
    <w:rsid w:val="69EF3418"/>
    <w:rsid w:val="6B6F0E3D"/>
    <w:rsid w:val="6B8B6A54"/>
    <w:rsid w:val="6C596787"/>
    <w:rsid w:val="6CEA6DE8"/>
    <w:rsid w:val="6D2E4540"/>
    <w:rsid w:val="6E3A4A84"/>
    <w:rsid w:val="6F057D25"/>
    <w:rsid w:val="6F29539B"/>
    <w:rsid w:val="70EB7643"/>
    <w:rsid w:val="715B4AF4"/>
    <w:rsid w:val="71E22AEB"/>
    <w:rsid w:val="72D609D7"/>
    <w:rsid w:val="73C73E28"/>
    <w:rsid w:val="74544798"/>
    <w:rsid w:val="762B2C55"/>
    <w:rsid w:val="7A3A2795"/>
    <w:rsid w:val="7BBA75F6"/>
    <w:rsid w:val="7C435309"/>
    <w:rsid w:val="7D5261B9"/>
    <w:rsid w:val="7DEEBB10"/>
    <w:rsid w:val="9FF57F83"/>
    <w:rsid w:val="DFADEAA4"/>
    <w:rsid w:val="DFFE472D"/>
    <w:rsid w:val="EECFEF2D"/>
    <w:rsid w:val="FDB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360" w:lineRule="auto"/>
      <w:outlineLvl w:val="0"/>
    </w:pPr>
    <w:rPr>
      <w:rFonts w:ascii="仿宋" w:hAnsi="仿宋" w:eastAsia="仿宋" w:cs="仿宋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80" w:after="80" w:line="360" w:lineRule="auto"/>
      <w:ind w:left="0" w:firstLine="0"/>
      <w:outlineLvl w:val="1"/>
    </w:pPr>
    <w:rPr>
      <w:rFonts w:ascii="仿宋" w:hAnsi="仿宋" w:eastAsia="仿宋" w:cs="仿宋"/>
      <w:b/>
      <w:sz w:val="30"/>
    </w:rPr>
  </w:style>
  <w:style w:type="paragraph" w:styleId="4">
    <w:name w:val="heading 3"/>
    <w:basedOn w:val="1"/>
    <w:next w:val="1"/>
    <w:unhideWhenUsed/>
    <w:qFormat/>
    <w:uiPriority w:val="0"/>
    <w:pPr>
      <w:numPr>
        <w:ilvl w:val="2"/>
        <w:numId w:val="1"/>
      </w:numPr>
      <w:spacing w:before="120" w:after="120" w:line="360" w:lineRule="auto"/>
      <w:outlineLvl w:val="2"/>
    </w:pPr>
    <w:rPr>
      <w:rFonts w:ascii="仿宋" w:hAnsi="仿宋" w:eastAsia="仿宋" w:cs="仿宋"/>
      <w:b/>
      <w:bCs/>
      <w:sz w:val="28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120" w:after="120" w:line="360" w:lineRule="auto"/>
      <w:outlineLvl w:val="3"/>
    </w:pPr>
    <w:rPr>
      <w:rFonts w:ascii="仿宋" w:hAnsi="仿宋" w:eastAsia="仿宋" w:cs="仿宋"/>
      <w:b/>
      <w:bCs/>
      <w:color w:val="000000"/>
      <w:sz w:val="28"/>
      <w:szCs w:val="32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60" w:after="60" w:line="360" w:lineRule="auto"/>
      <w:outlineLvl w:val="4"/>
    </w:pPr>
    <w:rPr>
      <w:rFonts w:ascii="仿宋" w:hAnsi="仿宋" w:eastAsia="仿宋" w:cs="仿宋"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40" w:after="40" w:line="360" w:lineRule="auto"/>
      <w:ind w:left="0" w:firstLine="0"/>
      <w:outlineLvl w:val="5"/>
    </w:pPr>
    <w:rPr>
      <w:rFonts w:ascii="仿宋" w:hAnsi="仿宋" w:eastAsia="仿宋" w:cs="仿宋"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420"/>
    </w:pPr>
    <w:rPr>
      <w:kern w:val="0"/>
      <w:szCs w:val="20"/>
    </w:rPr>
  </w:style>
  <w:style w:type="paragraph" w:styleId="12">
    <w:name w:val="annotation text"/>
    <w:basedOn w:val="1"/>
    <w:qFormat/>
    <w:uiPriority w:val="0"/>
    <w:pPr>
      <w:jc w:val="left"/>
    </w:pPr>
  </w:style>
  <w:style w:type="paragraph" w:styleId="13">
    <w:name w:val="Body Text"/>
    <w:basedOn w:val="1"/>
    <w:next w:val="1"/>
    <w:qFormat/>
    <w:uiPriority w:val="0"/>
    <w:pPr>
      <w:spacing w:after="120"/>
    </w:pPr>
    <w:rPr>
      <w:rFonts w:ascii="Times New Roman" w:hAnsi="Times New Roman"/>
      <w:kern w:val="0"/>
      <w:sz w:val="20"/>
    </w:rPr>
  </w:style>
  <w:style w:type="paragraph" w:styleId="14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15">
    <w:name w:val="toc 3"/>
    <w:basedOn w:val="1"/>
    <w:next w:val="1"/>
    <w:qFormat/>
    <w:uiPriority w:val="39"/>
    <w:pPr>
      <w:spacing w:line="360" w:lineRule="auto"/>
      <w:ind w:left="840" w:leftChars="400"/>
    </w:pPr>
    <w:rPr>
      <w:rFonts w:ascii="仿宋" w:hAnsi="仿宋" w:eastAsia="仿宋" w:cs="仿宋"/>
      <w:sz w:val="28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8">
    <w:name w:val="toc 1"/>
    <w:basedOn w:val="1"/>
    <w:next w:val="1"/>
    <w:qFormat/>
    <w:uiPriority w:val="39"/>
    <w:pPr>
      <w:spacing w:line="360" w:lineRule="auto"/>
    </w:pPr>
    <w:rPr>
      <w:rFonts w:ascii="仿宋" w:hAnsi="仿宋" w:eastAsia="仿宋" w:cs="仿宋"/>
      <w:sz w:val="28"/>
    </w:rPr>
  </w:style>
  <w:style w:type="paragraph" w:styleId="19">
    <w:name w:val="toc 2"/>
    <w:basedOn w:val="1"/>
    <w:next w:val="1"/>
    <w:qFormat/>
    <w:uiPriority w:val="39"/>
    <w:pPr>
      <w:spacing w:line="360" w:lineRule="auto"/>
      <w:ind w:left="420" w:leftChars="200"/>
    </w:pPr>
    <w:rPr>
      <w:rFonts w:ascii="仿宋" w:hAnsi="仿宋" w:eastAsia="仿宋" w:cs="仿宋"/>
      <w:sz w:val="28"/>
    </w:rPr>
  </w:style>
  <w:style w:type="paragraph" w:styleId="20">
    <w:name w:val="Body Text First Indent 2"/>
    <w:basedOn w:val="14"/>
    <w:unhideWhenUsed/>
    <w:qFormat/>
    <w:uiPriority w:val="99"/>
    <w:pPr>
      <w:ind w:firstLine="420" w:firstLineChars="200"/>
    </w:p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Hyperlink"/>
    <w:basedOn w:val="2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5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26">
    <w:name w:val="内容标准"/>
    <w:basedOn w:val="1"/>
    <w:qFormat/>
    <w:uiPriority w:val="0"/>
    <w:pPr>
      <w:spacing w:line="360" w:lineRule="auto"/>
      <w:ind w:firstLine="880" w:firstLineChars="200"/>
    </w:pPr>
    <w:rPr>
      <w:rFonts w:eastAsia="仿宋"/>
      <w:sz w:val="28"/>
    </w:rPr>
  </w:style>
  <w:style w:type="paragraph" w:customStyle="1" w:styleId="27">
    <w:name w:val="技术内容"/>
    <w:basedOn w:val="1"/>
    <w:qFormat/>
    <w:uiPriority w:val="0"/>
    <w:pPr>
      <w:spacing w:line="360" w:lineRule="auto"/>
      <w:ind w:firstLine="200" w:firstLineChars="200"/>
      <w:jc w:val="left"/>
    </w:pPr>
    <w:rPr>
      <w:rFonts w:eastAsia="仿宋"/>
      <w:sz w:val="28"/>
    </w:rPr>
  </w:style>
  <w:style w:type="paragraph" w:customStyle="1" w:styleId="28">
    <w:name w:val="列表段落1"/>
    <w:basedOn w:val="1"/>
    <w:qFormat/>
    <w:uiPriority w:val="34"/>
    <w:pPr>
      <w:ind w:firstLine="420" w:firstLineChars="200"/>
    </w:pPr>
  </w:style>
  <w:style w:type="paragraph" w:customStyle="1" w:styleId="29">
    <w:name w:val="样式1"/>
    <w:basedOn w:val="1"/>
    <w:qFormat/>
    <w:uiPriority w:val="0"/>
    <w:pPr>
      <w:spacing w:line="360" w:lineRule="auto"/>
      <w:ind w:firstLine="1044" w:firstLineChars="200"/>
      <w:jc w:val="left"/>
    </w:pPr>
    <w:rPr>
      <w:rFonts w:hint="eastAsia" w:ascii="方正小标宋简体" w:hAnsi="方正小标宋简体" w:eastAsia="仿宋_GB2312" w:cs="方正小标宋简体"/>
      <w:sz w:val="28"/>
      <w:szCs w:val="44"/>
    </w:rPr>
  </w:style>
  <w:style w:type="paragraph" w:styleId="30">
    <w:name w:val="List Paragraph"/>
    <w:basedOn w:val="1"/>
    <w:qFormat/>
    <w:uiPriority w:val="99"/>
    <w:pPr>
      <w:ind w:firstLine="420" w:firstLineChars="200"/>
    </w:pPr>
    <w:rPr>
      <w:szCs w:val="22"/>
    </w:rPr>
  </w:style>
  <w:style w:type="character" w:customStyle="1" w:styleId="31">
    <w:name w:val="font11"/>
    <w:basedOn w:val="2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32">
    <w:name w:val="font21"/>
    <w:basedOn w:val="2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2649</Words>
  <Characters>2865</Characters>
  <Lines>19</Lines>
  <Paragraphs>5</Paragraphs>
  <TotalTime>0</TotalTime>
  <ScaleCrop>false</ScaleCrop>
  <LinksUpToDate>false</LinksUpToDate>
  <CharactersWithSpaces>2951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2023-08-08T01:09:00Z</dcterms:created>
  <dc:creator>70328</dc:creator>
  <cp:lastModifiedBy>小段</cp:lastModifiedBy>
  <dcterms:modified xsi:type="dcterms:W3CDTF">2024-11-07T16:04:12Z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242B0A8B022C15E01D742C679B03356D_43</vt:lpwstr>
  </property>
</Properties>
</file>